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3" w:rsidRPr="00CC1D59" w:rsidRDefault="00A62F73" w:rsidP="00671D7D">
      <w:pPr>
        <w:spacing w:line="240" w:lineRule="auto"/>
        <w:ind w:left="4678" w:hanging="11"/>
        <w:jc w:val="center"/>
        <w:rPr>
          <w:sz w:val="24"/>
          <w:szCs w:val="24"/>
        </w:rPr>
      </w:pPr>
      <w:bookmarkStart w:id="0" w:name="_Toc517582288"/>
      <w:bookmarkStart w:id="1" w:name="_Toc517582612"/>
      <w:bookmarkStart w:id="2" w:name="_Hlt447028322"/>
      <w:r w:rsidRPr="00CC1D59">
        <w:rPr>
          <w:sz w:val="24"/>
          <w:szCs w:val="24"/>
        </w:rPr>
        <w:t xml:space="preserve"> </w:t>
      </w: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F936CF">
        <w:rPr>
          <w:sz w:val="24"/>
          <w:szCs w:val="24"/>
        </w:rPr>
        <w:t>6</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BF6615">
          <w:rPr>
            <w:webHidden/>
          </w:rPr>
          <w:t>3</w:t>
        </w:r>
        <w:r w:rsidR="001C4700">
          <w:rPr>
            <w:webHidden/>
          </w:rPr>
          <w:fldChar w:fldCharType="end"/>
        </w:r>
      </w:hyperlink>
    </w:p>
    <w:p w:rsidR="001C4700" w:rsidRDefault="0097303C">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sidR="00BF6615">
          <w:rPr>
            <w:webHidden/>
          </w:rPr>
          <w:t>6</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sidR="00BF6615">
          <w:rPr>
            <w:webHidden/>
          </w:rPr>
          <w:t>9</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sidR="00BF6615">
          <w:rPr>
            <w:webHidden/>
          </w:rPr>
          <w:t>12</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sidR="00BF6615">
          <w:rPr>
            <w:webHidden/>
          </w:rPr>
          <w:t>14</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sidR="00BF6615">
          <w:rPr>
            <w:webHidden/>
          </w:rPr>
          <w:t>16</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sidR="00BF6615">
          <w:rPr>
            <w:webHidden/>
          </w:rPr>
          <w:t>20</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sidR="00BF6615">
          <w:rPr>
            <w:webHidden/>
          </w:rPr>
          <w:t>22</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sidR="00BF6615">
          <w:rPr>
            <w:webHidden/>
          </w:rPr>
          <w:t>24</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sidR="00BF6615">
          <w:rPr>
            <w:webHidden/>
          </w:rPr>
          <w:t>26</w:t>
        </w:r>
        <w:r w:rsidR="001C4700">
          <w:rPr>
            <w:webHidden/>
          </w:rPr>
          <w:fldChar w:fldCharType="end"/>
        </w:r>
      </w:hyperlink>
    </w:p>
    <w:p w:rsidR="001C4700" w:rsidRDefault="0097303C">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C4700" w:rsidRPr="00F26B01">
          <w:rPr>
            <w:rStyle w:val="af2"/>
          </w:rPr>
          <w:t>Справка об отнесении участника запроса предложений (открытого запроса предложений) к субъектам малого и среднего предпринимательства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sidR="00BF6615">
          <w:rPr>
            <w:webHidden/>
          </w:rPr>
          <w:t>28</w:t>
        </w:r>
        <w:r w:rsidR="001C4700">
          <w:rPr>
            <w:webHidden/>
          </w:rPr>
          <w:fldChar w:fldCharType="end"/>
        </w:r>
      </w:hyperlink>
    </w:p>
    <w:p w:rsidR="001C4700" w:rsidRDefault="0097303C">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sidR="00BF6615">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97303C">
        <w:rPr>
          <w:i/>
          <w:sz w:val="24"/>
          <w:szCs w:val="24"/>
          <w:shd w:val="clear" w:color="auto" w:fill="FFFFFF" w:themeFill="background1"/>
        </w:rPr>
        <w:t>760</w:t>
      </w:r>
      <w:r w:rsidR="005270A1" w:rsidRPr="005270A1">
        <w:rPr>
          <w:i/>
          <w:sz w:val="24"/>
          <w:szCs w:val="24"/>
          <w:shd w:val="clear" w:color="auto" w:fill="FFFFFF" w:themeFill="background1"/>
        </w:rPr>
        <w:t xml:space="preserve"> от </w:t>
      </w:r>
      <w:r w:rsidR="0097303C">
        <w:rPr>
          <w:i/>
          <w:sz w:val="24"/>
          <w:szCs w:val="24"/>
          <w:shd w:val="clear" w:color="auto" w:fill="FFFFFF" w:themeFill="background1"/>
        </w:rPr>
        <w:t>29</w:t>
      </w:r>
      <w:r w:rsidR="00FD56A2">
        <w:rPr>
          <w:i/>
          <w:sz w:val="24"/>
          <w:szCs w:val="24"/>
          <w:shd w:val="clear" w:color="auto" w:fill="FFFFFF" w:themeFill="background1"/>
        </w:rPr>
        <w:t>.</w:t>
      </w:r>
      <w:r w:rsidR="00634676">
        <w:rPr>
          <w:i/>
          <w:sz w:val="24"/>
          <w:szCs w:val="24"/>
          <w:shd w:val="clear" w:color="auto" w:fill="FFFFFF" w:themeFill="background1"/>
        </w:rPr>
        <w:t>1</w:t>
      </w:r>
      <w:r w:rsidR="00D869AF">
        <w:rPr>
          <w:i/>
          <w:sz w:val="24"/>
          <w:szCs w:val="24"/>
          <w:shd w:val="clear" w:color="auto" w:fill="FFFFFF" w:themeFill="background1"/>
        </w:rPr>
        <w:t>2</w:t>
      </w:r>
      <w:r w:rsidR="00F615D3" w:rsidRPr="005270A1">
        <w:rPr>
          <w:i/>
          <w:sz w:val="24"/>
          <w:szCs w:val="24"/>
          <w:shd w:val="clear" w:color="auto" w:fill="FFFFFF" w:themeFill="background1"/>
        </w:rPr>
        <w:t>.201</w:t>
      </w:r>
      <w:r w:rsidR="00B73132">
        <w:rPr>
          <w:i/>
          <w:sz w:val="24"/>
          <w:szCs w:val="24"/>
          <w:shd w:val="clear" w:color="auto" w:fill="FFFFFF" w:themeFill="background1"/>
        </w:rPr>
        <w:t>6</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3F15B1">
        <w:trPr>
          <w:trHeight w:val="720"/>
          <w:tblHeader/>
        </w:trPr>
        <w:tc>
          <w:tcPr>
            <w:tcW w:w="498" w:type="dxa"/>
            <w:vAlign w:val="center"/>
          </w:tcPr>
          <w:p w:rsidR="00B73132" w:rsidRPr="00F3026D" w:rsidRDefault="00B73132" w:rsidP="003F15B1">
            <w:pPr>
              <w:spacing w:line="276" w:lineRule="auto"/>
              <w:ind w:left="540" w:hanging="540"/>
              <w:jc w:val="left"/>
              <w:rPr>
                <w:b/>
                <w:sz w:val="24"/>
                <w:szCs w:val="24"/>
              </w:rPr>
            </w:pPr>
            <w:r w:rsidRPr="00F3026D">
              <w:rPr>
                <w:b/>
                <w:sz w:val="24"/>
                <w:szCs w:val="24"/>
              </w:rPr>
              <w:t>№</w:t>
            </w:r>
          </w:p>
          <w:p w:rsidR="00B73132" w:rsidRPr="00F3026D" w:rsidRDefault="00B73132" w:rsidP="003F15B1">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3F15B1">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3F15B1">
            <w:pPr>
              <w:pStyle w:val="24"/>
              <w:spacing w:line="276" w:lineRule="auto"/>
              <w:ind w:left="539" w:right="153" w:hanging="539"/>
              <w:jc w:val="left"/>
              <w:rPr>
                <w:b/>
                <w:bCs/>
                <w:sz w:val="24"/>
              </w:rPr>
            </w:pPr>
            <w:r w:rsidRPr="00F3026D">
              <w:rPr>
                <w:b/>
                <w:bCs/>
                <w:sz w:val="24"/>
              </w:rPr>
              <w:t>Содержание</w:t>
            </w:r>
          </w:p>
        </w:tc>
      </w:tr>
      <w:tr w:rsidR="00B73132" w:rsidRPr="00F3026D" w:rsidTr="003F15B1">
        <w:trPr>
          <w:trHeight w:val="567"/>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97303C" w:rsidP="003F15B1">
            <w:pPr>
              <w:autoSpaceDE w:val="0"/>
              <w:autoSpaceDN w:val="0"/>
              <w:adjustRightInd w:val="0"/>
              <w:spacing w:line="276" w:lineRule="auto"/>
              <w:ind w:right="-72" w:firstLine="0"/>
              <w:jc w:val="left"/>
              <w:rPr>
                <w:bCs/>
                <w:sz w:val="24"/>
                <w:szCs w:val="24"/>
              </w:rPr>
            </w:pPr>
            <w:bookmarkStart w:id="4" w:name="_GoBack"/>
            <w:r>
              <w:rPr>
                <w:color w:val="000000"/>
                <w:sz w:val="24"/>
                <w:szCs w:val="24"/>
              </w:rPr>
              <w:t>Материалы для ремонта ж/д путей</w:t>
            </w:r>
            <w:bookmarkEnd w:id="4"/>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3F15B1">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73132" w:rsidRPr="00F3026D" w:rsidRDefault="00B73132" w:rsidP="003F15B1">
            <w:pPr>
              <w:spacing w:line="276" w:lineRule="auto"/>
              <w:ind w:right="153" w:firstLine="0"/>
              <w:jc w:val="left"/>
              <w:rPr>
                <w:b/>
                <w:sz w:val="24"/>
                <w:szCs w:val="24"/>
                <w:lang w:eastAsia="en-US"/>
              </w:rPr>
            </w:pPr>
          </w:p>
        </w:tc>
        <w:tc>
          <w:tcPr>
            <w:tcW w:w="5811" w:type="dxa"/>
          </w:tcPr>
          <w:p w:rsidR="00B73132" w:rsidRPr="00807B36" w:rsidRDefault="00B73132" w:rsidP="003F15B1">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B73132" w:rsidRPr="008261F5" w:rsidRDefault="00B73132" w:rsidP="003F15B1">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color w:val="000000"/>
                <w:sz w:val="24"/>
                <w:szCs w:val="24"/>
              </w:rPr>
              <w:t xml:space="preserve"> </w:t>
            </w:r>
            <w:r w:rsidRPr="008261F5">
              <w:rPr>
                <w:sz w:val="24"/>
                <w:szCs w:val="24"/>
                <w:lang w:eastAsia="en-US"/>
              </w:rPr>
              <w:t>Сотрудник подразделения закупок:</w:t>
            </w:r>
            <w:r w:rsidRPr="00F3026D">
              <w:rPr>
                <w:sz w:val="24"/>
                <w:szCs w:val="24"/>
                <w:lang w:eastAsia="en-US"/>
              </w:rPr>
              <w:t xml:space="preserve"> </w:t>
            </w:r>
            <w:r>
              <w:rPr>
                <w:i/>
                <w:sz w:val="24"/>
                <w:szCs w:val="24"/>
                <w:lang w:eastAsia="en-US"/>
              </w:rPr>
              <w:t>Сенчиков Антон Григорьевич</w:t>
            </w:r>
            <w:r w:rsidRPr="008261F5">
              <w:rPr>
                <w:i/>
                <w:sz w:val="24"/>
                <w:szCs w:val="24"/>
                <w:lang w:eastAsia="en-US"/>
              </w:rPr>
              <w:t xml:space="preserve"> </w:t>
            </w:r>
          </w:p>
          <w:p w:rsidR="00B73132" w:rsidRPr="00E626F2" w:rsidRDefault="00B73132" w:rsidP="003F15B1">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sidR="00C610E0">
              <w:t xml:space="preserve"> </w:t>
            </w:r>
            <w:hyperlink r:id="rId10" w:history="1">
              <w:r w:rsidR="00C610E0" w:rsidRPr="00C610E0">
                <w:rPr>
                  <w:rStyle w:val="af2"/>
                  <w:sz w:val="24"/>
                  <w:szCs w:val="24"/>
                </w:rPr>
                <w:t>Senchikov_AG@unipro.energy</w:t>
              </w:r>
            </w:hyperlink>
            <w:r w:rsidRPr="00E626F2">
              <w:rPr>
                <w:sz w:val="24"/>
                <w:szCs w:val="24"/>
                <w:lang w:eastAsia="en-US"/>
              </w:rPr>
              <w:t xml:space="preserve"> </w:t>
            </w:r>
          </w:p>
          <w:p w:rsidR="00B73132" w:rsidRPr="00E626F2" w:rsidRDefault="00B73132" w:rsidP="00634676">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14-49</w:t>
            </w:r>
          </w:p>
        </w:tc>
      </w:tr>
      <w:tr w:rsidR="00B73132" w:rsidRPr="00F3026D" w:rsidTr="003F15B1">
        <w:trPr>
          <w:trHeight w:val="1773"/>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3F15B1">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97303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7303C">
              <w:rPr>
                <w:b/>
                <w:sz w:val="24"/>
                <w:szCs w:val="24"/>
                <w:lang w:eastAsia="en-US"/>
              </w:rPr>
              <w:t>29</w:t>
            </w:r>
            <w:r w:rsidRPr="000F748C">
              <w:rPr>
                <w:b/>
                <w:sz w:val="24"/>
                <w:szCs w:val="24"/>
                <w:lang w:eastAsia="en-US"/>
              </w:rPr>
              <w:t>.</w:t>
            </w:r>
            <w:r w:rsidR="00F7724B">
              <w:rPr>
                <w:b/>
                <w:sz w:val="24"/>
                <w:szCs w:val="24"/>
                <w:lang w:eastAsia="en-US"/>
              </w:rPr>
              <w:t>1</w:t>
            </w:r>
            <w:r w:rsidR="00D869AF">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6</w:t>
            </w:r>
            <w:r w:rsidRPr="000F748C">
              <w:rPr>
                <w:b/>
                <w:sz w:val="24"/>
                <w:szCs w:val="24"/>
                <w:lang w:eastAsia="en-US"/>
              </w:rPr>
              <w:t>г.</w:t>
            </w: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73132" w:rsidRPr="000F748C" w:rsidRDefault="00B73132" w:rsidP="003F15B1">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97303C">
              <w:rPr>
                <w:b/>
                <w:sz w:val="24"/>
                <w:szCs w:val="24"/>
                <w:lang w:eastAsia="en-US"/>
              </w:rPr>
              <w:t>4</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869AF">
              <w:rPr>
                <w:b/>
                <w:sz w:val="24"/>
                <w:szCs w:val="24"/>
                <w:lang w:eastAsia="en-US"/>
              </w:rPr>
              <w:t>1</w:t>
            </w:r>
            <w:r w:rsidR="0097303C">
              <w:rPr>
                <w:b/>
                <w:sz w:val="24"/>
                <w:szCs w:val="24"/>
                <w:lang w:eastAsia="en-US"/>
              </w:rPr>
              <w:t>6</w:t>
            </w:r>
            <w:r w:rsidRPr="000F748C">
              <w:rPr>
                <w:b/>
                <w:sz w:val="24"/>
                <w:szCs w:val="24"/>
                <w:lang w:eastAsia="en-US"/>
              </w:rPr>
              <w:t>.</w:t>
            </w:r>
            <w:r w:rsidR="0097303C">
              <w:rPr>
                <w:b/>
                <w:sz w:val="24"/>
                <w:szCs w:val="24"/>
                <w:lang w:eastAsia="en-US"/>
              </w:rPr>
              <w:t>01</w:t>
            </w:r>
            <w:r w:rsidRPr="000F748C">
              <w:rPr>
                <w:b/>
                <w:sz w:val="24"/>
                <w:szCs w:val="24"/>
                <w:lang w:eastAsia="en-US"/>
              </w:rPr>
              <w:t>.20</w:t>
            </w:r>
            <w:r>
              <w:rPr>
                <w:b/>
                <w:sz w:val="24"/>
                <w:szCs w:val="24"/>
                <w:lang w:eastAsia="en-US"/>
              </w:rPr>
              <w:t>1</w:t>
            </w:r>
            <w:r w:rsidR="0097303C">
              <w:rPr>
                <w:b/>
                <w:sz w:val="24"/>
                <w:szCs w:val="24"/>
                <w:lang w:eastAsia="en-US"/>
              </w:rPr>
              <w:t>7</w:t>
            </w:r>
            <w:r w:rsidRPr="000F748C">
              <w:rPr>
                <w:b/>
                <w:sz w:val="24"/>
                <w:szCs w:val="24"/>
                <w:lang w:eastAsia="en-US"/>
              </w:rPr>
              <w:t>г.</w:t>
            </w:r>
          </w:p>
          <w:p w:rsidR="00B73132" w:rsidRPr="00F3026D" w:rsidRDefault="00B73132" w:rsidP="003F15B1">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73132" w:rsidRDefault="00B73132" w:rsidP="003F15B1">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B73132" w:rsidRDefault="00B73132" w:rsidP="003F15B1">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B73132" w:rsidRPr="00E626F2" w:rsidRDefault="00B73132" w:rsidP="003F15B1">
            <w:pPr>
              <w:shd w:val="clear" w:color="auto" w:fill="FFFFFF"/>
              <w:spacing w:line="240" w:lineRule="auto"/>
              <w:ind w:firstLine="0"/>
              <w:jc w:val="left"/>
              <w:rPr>
                <w:rStyle w:val="af2"/>
                <w:i/>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 xml:space="preserve">: </w:t>
            </w:r>
            <w:hyperlink r:id="rId12" w:history="1">
              <w:r w:rsidR="00C610E0" w:rsidRPr="00C610E0">
                <w:rPr>
                  <w:rStyle w:val="af2"/>
                  <w:sz w:val="24"/>
                  <w:szCs w:val="24"/>
                </w:rPr>
                <w:t>Senchikov_AG@unipro.energy</w:t>
              </w:r>
            </w:hyperlink>
          </w:p>
          <w:p w:rsidR="00B73132" w:rsidRPr="009457BF" w:rsidRDefault="00B73132" w:rsidP="003F15B1">
            <w:pPr>
              <w:shd w:val="clear" w:color="auto" w:fill="FFFFFF"/>
              <w:spacing w:line="240" w:lineRule="auto"/>
              <w:ind w:firstLine="0"/>
              <w:jc w:val="left"/>
              <w:rPr>
                <w:i/>
                <w:color w:val="0000FF"/>
                <w:u w:val="single"/>
              </w:rPr>
            </w:pP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73132" w:rsidRPr="00F3026D" w:rsidRDefault="0097303C" w:rsidP="008B4EB6">
            <w:pPr>
              <w:tabs>
                <w:tab w:val="left" w:pos="0"/>
              </w:tabs>
              <w:spacing w:line="276" w:lineRule="auto"/>
              <w:ind w:left="540" w:right="153" w:hanging="540"/>
              <w:jc w:val="left"/>
              <w:rPr>
                <w:i/>
                <w:sz w:val="24"/>
                <w:szCs w:val="24"/>
                <w:lang w:eastAsia="en-US"/>
              </w:rPr>
            </w:pPr>
            <w:r>
              <w:rPr>
                <w:b/>
                <w:color w:val="000000"/>
                <w:sz w:val="24"/>
                <w:szCs w:val="24"/>
              </w:rPr>
              <w:t>февраль</w:t>
            </w:r>
            <w:r w:rsidR="00B73132">
              <w:rPr>
                <w:b/>
                <w:color w:val="000000"/>
                <w:sz w:val="24"/>
                <w:szCs w:val="24"/>
              </w:rPr>
              <w:t xml:space="preserve"> </w:t>
            </w:r>
            <w:r w:rsidR="00B73132" w:rsidRPr="00A34297">
              <w:rPr>
                <w:b/>
                <w:color w:val="000000"/>
                <w:sz w:val="24"/>
                <w:szCs w:val="24"/>
              </w:rPr>
              <w:t>201</w:t>
            </w:r>
            <w:r w:rsidR="008B4EB6">
              <w:rPr>
                <w:b/>
                <w:color w:val="000000"/>
                <w:sz w:val="24"/>
                <w:szCs w:val="24"/>
              </w:rPr>
              <w:t>7</w:t>
            </w:r>
            <w:r w:rsidR="00B73132" w:rsidRPr="00A34297">
              <w:rPr>
                <w:b/>
                <w:color w:val="000000"/>
                <w:sz w:val="24"/>
                <w:szCs w:val="24"/>
              </w:rPr>
              <w:t>г.</w:t>
            </w:r>
          </w:p>
        </w:tc>
      </w:tr>
      <w:tr w:rsidR="00B73132" w:rsidRPr="00F3026D" w:rsidTr="003F15B1">
        <w:trPr>
          <w:trHeight w:val="24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3F15B1">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3F15B1">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3F15B1">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3F15B1">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3F15B1">
            <w:pPr>
              <w:pStyle w:val="afffa"/>
              <w:tabs>
                <w:tab w:val="left" w:pos="0"/>
                <w:tab w:val="left" w:pos="2410"/>
              </w:tabs>
              <w:ind w:left="0" w:right="-11"/>
              <w:contextualSpacing/>
              <w:jc w:val="both"/>
              <w:rPr>
                <w:snapToGrid w:val="0"/>
              </w:rPr>
            </w:pPr>
          </w:p>
        </w:tc>
      </w:tr>
      <w:tr w:rsidR="00B73132" w:rsidRPr="00F3026D" w:rsidTr="003F15B1">
        <w:trPr>
          <w:trHeight w:val="286"/>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3F15B1">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3F15B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3F15B1">
            <w:pPr>
              <w:tabs>
                <w:tab w:val="left" w:pos="0"/>
              </w:tabs>
              <w:spacing w:line="276" w:lineRule="auto"/>
              <w:ind w:left="540" w:right="153" w:hanging="540"/>
              <w:jc w:val="left"/>
              <w:rPr>
                <w:sz w:val="24"/>
                <w:szCs w:val="24"/>
              </w:rPr>
            </w:pPr>
          </w:p>
        </w:tc>
      </w:tr>
      <w:tr w:rsidR="00B73132" w:rsidRPr="00F3026D" w:rsidTr="003F15B1">
        <w:trPr>
          <w:trHeight w:val="152"/>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3F15B1">
            <w:pPr>
              <w:tabs>
                <w:tab w:val="left" w:pos="0"/>
              </w:tabs>
              <w:spacing w:line="276" w:lineRule="auto"/>
              <w:ind w:left="540" w:right="153" w:hanging="540"/>
              <w:rPr>
                <w:sz w:val="24"/>
                <w:szCs w:val="24"/>
              </w:rPr>
            </w:pPr>
            <w:r>
              <w:rPr>
                <w:sz w:val="24"/>
                <w:szCs w:val="24"/>
              </w:rPr>
              <w:t>Рубль</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3F15B1">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3F15B1">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3F15B1">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3F15B1">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3F15B1">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3F15B1">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3F15B1">
        <w:trPr>
          <w:trHeight w:val="70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3F15B1">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3F15B1">
        <w:trPr>
          <w:trHeight w:val="979"/>
        </w:trPr>
        <w:tc>
          <w:tcPr>
            <w:tcW w:w="498" w:type="dxa"/>
          </w:tcPr>
          <w:p w:rsidR="00B73132" w:rsidRPr="00F3026D" w:rsidRDefault="00B73132" w:rsidP="003F15B1">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3F15B1">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3F15B1">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3F15B1">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3F15B1">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3F15B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3F15B1">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w:t>
            </w:r>
            <w:r w:rsidR="0097303C">
              <w:rPr>
                <w:i/>
              </w:rPr>
              <w:t>12</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3F15B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73132" w:rsidRPr="00F3026D" w:rsidRDefault="00B73132" w:rsidP="003F15B1">
            <w:pPr>
              <w:spacing w:line="276" w:lineRule="auto"/>
              <w:ind w:left="568" w:hanging="568"/>
              <w:jc w:val="left"/>
              <w:rPr>
                <w:sz w:val="24"/>
                <w:szCs w:val="24"/>
              </w:rPr>
            </w:pPr>
          </w:p>
        </w:tc>
        <w:tc>
          <w:tcPr>
            <w:tcW w:w="3969" w:type="dxa"/>
          </w:tcPr>
          <w:p w:rsidR="00B73132" w:rsidRPr="00F3026D" w:rsidRDefault="00B73132" w:rsidP="003F15B1">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3F15B1">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b/>
                <w:sz w:val="24"/>
                <w:szCs w:val="24"/>
              </w:rPr>
            </w:pPr>
            <w:r w:rsidRPr="00F3026D">
              <w:rPr>
                <w:b/>
                <w:sz w:val="24"/>
                <w:szCs w:val="24"/>
              </w:rPr>
              <w:t>19.</w:t>
            </w:r>
          </w:p>
        </w:tc>
        <w:tc>
          <w:tcPr>
            <w:tcW w:w="3969" w:type="dxa"/>
          </w:tcPr>
          <w:p w:rsidR="00B73132" w:rsidRPr="00F3026D" w:rsidRDefault="00B73132" w:rsidP="003F15B1">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73132" w:rsidRPr="00F3026D" w:rsidRDefault="00B73132" w:rsidP="003F15B1">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97303C">
                <w:rPr>
                  <w:rStyle w:val="af2"/>
                  <w:sz w:val="24"/>
                  <w:szCs w:val="24"/>
                </w:rPr>
                <w:t>http://www.unipro.energy/files/117/</w:t>
              </w:r>
            </w:hyperlink>
          </w:p>
        </w:tc>
      </w:tr>
      <w:tr w:rsidR="00B73132" w:rsidRPr="00F3026D" w:rsidTr="003F15B1">
        <w:trPr>
          <w:trHeight w:val="391"/>
        </w:trPr>
        <w:tc>
          <w:tcPr>
            <w:tcW w:w="498" w:type="dxa"/>
          </w:tcPr>
          <w:p w:rsidR="00B73132" w:rsidRPr="00F3026D" w:rsidRDefault="00B73132" w:rsidP="003F15B1">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3F15B1">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3F15B1">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97303C"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4548EC" w:rsidRPr="00F3026D" w:rsidTr="003F15B1">
        <w:trPr>
          <w:trHeight w:val="391"/>
        </w:trPr>
        <w:tc>
          <w:tcPr>
            <w:tcW w:w="498" w:type="dxa"/>
          </w:tcPr>
          <w:p w:rsidR="004548EC" w:rsidRPr="00F3026D" w:rsidRDefault="004548EC"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4548EC" w:rsidRPr="00F3026D" w:rsidRDefault="004548EC" w:rsidP="004548E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r w:rsidRPr="00F3026D">
              <w:rPr>
                <w:b/>
                <w:spacing w:val="-6"/>
                <w:sz w:val="24"/>
                <w:szCs w:val="24"/>
              </w:rPr>
              <w:t xml:space="preserve"> </w:t>
            </w:r>
          </w:p>
        </w:tc>
        <w:tc>
          <w:tcPr>
            <w:tcW w:w="5811" w:type="dxa"/>
          </w:tcPr>
          <w:p w:rsidR="004548EC" w:rsidRPr="004548EC" w:rsidRDefault="004548EC" w:rsidP="004548EC">
            <w:pPr>
              <w:autoSpaceDE w:val="0"/>
              <w:autoSpaceDN w:val="0"/>
              <w:adjustRightInd w:val="0"/>
              <w:spacing w:line="276" w:lineRule="auto"/>
              <w:ind w:firstLine="0"/>
              <w:rPr>
                <w:color w:val="FF0000"/>
                <w:sz w:val="24"/>
                <w:szCs w:val="24"/>
                <w:lang w:eastAsia="en-US"/>
              </w:rPr>
            </w:pPr>
            <w:r>
              <w:rPr>
                <w:spacing w:val="-6"/>
                <w:sz w:val="24"/>
                <w:szCs w:val="24"/>
              </w:rPr>
              <w:t>Справка</w:t>
            </w:r>
            <w:r w:rsidRPr="004548EC">
              <w:rPr>
                <w:spacing w:val="-6"/>
                <w:sz w:val="24"/>
                <w:szCs w:val="24"/>
              </w:rPr>
              <w:t xml:space="preserve">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BF6615" w:rsidRPr="00CC6391">
        <w:rPr>
          <w:color w:val="000000"/>
          <w:sz w:val="24"/>
          <w:szCs w:val="24"/>
        </w:rPr>
        <w:t xml:space="preserve">График поставки </w:t>
      </w:r>
      <w:proofErr w:type="gramStart"/>
      <w:r w:rsidR="00BF6615" w:rsidRPr="00CC6391">
        <w:rPr>
          <w:color w:val="000000"/>
          <w:sz w:val="24"/>
          <w:szCs w:val="24"/>
        </w:rPr>
        <w:t>товара  (</w:t>
      </w:r>
      <w:proofErr w:type="gramEnd"/>
      <w:r w:rsidR="00BF6615" w:rsidRPr="00CC6391">
        <w:rPr>
          <w:color w:val="000000"/>
          <w:sz w:val="24"/>
          <w:szCs w:val="24"/>
        </w:rPr>
        <w:t>форма</w:t>
      </w:r>
      <w:r w:rsidR="00BF6615" w:rsidRPr="00CC6391">
        <w:rPr>
          <w:noProof/>
          <w:color w:val="000000"/>
          <w:sz w:val="24"/>
          <w:szCs w:val="24"/>
        </w:rPr>
        <w:t xml:space="preserve"> </w:t>
      </w:r>
      <w:r w:rsidR="00BF6615">
        <w:rPr>
          <w:noProof/>
          <w:color w:val="000000"/>
          <w:sz w:val="24"/>
          <w:szCs w:val="24"/>
        </w:rPr>
        <w:t>3</w:t>
      </w:r>
      <w:r w:rsidR="00BF661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BF6615" w:rsidRPr="00BF6615">
        <w:rPr>
          <w:color w:val="000000"/>
          <w:sz w:val="24"/>
          <w:szCs w:val="24"/>
        </w:rPr>
        <w:t>Анкета Участника (форма 5</w:t>
      </w:r>
      <w:proofErr w:type="gramStart"/>
      <w:r w:rsidR="00BF6615" w:rsidRPr="00BF661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BF6615" w:rsidRPr="00BF6615">
        <w:rPr>
          <w:color w:val="000000"/>
          <w:sz w:val="24"/>
          <w:szCs w:val="24"/>
        </w:rPr>
        <w:t>Справка о перечне и годовых объемах выполнения аналогичных договоров (форма 6</w:t>
      </w:r>
      <w:r w:rsidR="00BF6615" w:rsidRPr="00BF661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BF661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BF661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proofErr w:type="gramStart"/>
      <w:r w:rsidR="00B620AF" w:rsidRPr="00CC6391">
        <w:rPr>
          <w:sz w:val="24"/>
          <w:szCs w:val="24"/>
        </w:rPr>
        <w:t>В</w:t>
      </w:r>
      <w:proofErr w:type="gramEnd"/>
      <w:r w:rsidR="00B620AF" w:rsidRPr="00CC6391">
        <w:rPr>
          <w:sz w:val="24"/>
          <w:szCs w:val="24"/>
        </w:rPr>
        <w:t xml:space="preserve">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C4700" w:rsidRPr="001C4700" w:rsidRDefault="001C4700" w:rsidP="001C4700">
      <w:pPr>
        <w:pStyle w:val="21"/>
        <w:jc w:val="center"/>
        <w:rPr>
          <w:color w:val="000000"/>
          <w:sz w:val="24"/>
          <w:szCs w:val="24"/>
        </w:rPr>
      </w:pPr>
      <w:bookmarkStart w:id="78" w:name="_Toc443553969"/>
      <w:r w:rsidRPr="001C4700">
        <w:rPr>
          <w:color w:val="000000"/>
          <w:sz w:val="24"/>
          <w:szCs w:val="24"/>
        </w:rPr>
        <w:lastRenderedPageBreak/>
        <w:t>Справка об отнесении участника запроса предложений (открытого запроса предложений) к субъектам малого и среднего предпринимательства (форма 14)</w:t>
      </w:r>
      <w:bookmarkEnd w:id="78"/>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7"/>
        <w:gridCol w:w="378"/>
        <w:gridCol w:w="2809"/>
        <w:gridCol w:w="1606"/>
        <w:gridCol w:w="545"/>
        <w:gridCol w:w="1369"/>
        <w:gridCol w:w="210"/>
        <w:gridCol w:w="1160"/>
        <w:gridCol w:w="684"/>
        <w:gridCol w:w="688"/>
        <w:gridCol w:w="670"/>
        <w:gridCol w:w="14"/>
      </w:tblGrid>
      <w:tr w:rsidR="001C4700" w:rsidRPr="002B23CC" w:rsidTr="001C4700">
        <w:trPr>
          <w:gridBefore w:val="2"/>
          <w:gridAfter w:val="1"/>
          <w:wBefore w:w="39" w:type="pct"/>
          <w:wAfter w:w="7" w:type="pct"/>
          <w:tblCellSpacing w:w="0" w:type="dxa"/>
        </w:trPr>
        <w:tc>
          <w:tcPr>
            <w:tcW w:w="4954" w:type="pct"/>
            <w:gridSpan w:val="10"/>
            <w:hideMark/>
          </w:tcPr>
          <w:p w:rsidR="001C4700" w:rsidRPr="002B23CC" w:rsidRDefault="001C4700" w:rsidP="003469E3">
            <w:pPr>
              <w:spacing w:line="276" w:lineRule="auto"/>
              <w:rPr>
                <w:sz w:val="24"/>
                <w:szCs w:val="24"/>
              </w:rPr>
            </w:pPr>
            <w:r>
              <w:br w:type="page"/>
            </w: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w:t>
            </w:r>
            <w:r w:rsidRPr="008A2D40">
              <w:rPr>
                <w:b/>
                <w:color w:val="000000"/>
                <w:sz w:val="20"/>
              </w:rPr>
              <w:br/>
            </w:r>
            <w:r w:rsidRPr="008A2D40">
              <w:rPr>
                <w:b/>
                <w:bCs/>
                <w:color w:val="000000"/>
                <w:sz w:val="20"/>
              </w:rPr>
              <w:t>п/п</w:t>
            </w:r>
          </w:p>
        </w:tc>
        <w:tc>
          <w:tcPr>
            <w:tcW w:w="2161" w:type="pct"/>
            <w:gridSpan w:val="2"/>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1C4700" w:rsidRPr="008A2D40" w:rsidRDefault="001C4700" w:rsidP="003469E3">
            <w:pPr>
              <w:spacing w:line="276" w:lineRule="auto"/>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Значение показателей за предыдущие три года</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b/>
                <w:bCs/>
                <w:color w:val="000000"/>
                <w:sz w:val="20"/>
              </w:rPr>
            </w:pPr>
            <w:r w:rsidRPr="008A2D40">
              <w:rPr>
                <w:b/>
                <w:bCs/>
                <w:color w:val="000000"/>
                <w:sz w:val="20"/>
              </w:rPr>
              <w:t>ГГГГ</w:t>
            </w: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color w:val="000000"/>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w:t>
            </w:r>
            <w:r w:rsidRPr="008A2D40">
              <w:rPr>
                <w:color w:val="000000"/>
                <w:sz w:val="20"/>
              </w:rPr>
              <w:lastRenderedPageBreak/>
              <w:t>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lastRenderedPageBreak/>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101</w:t>
            </w:r>
          </w:p>
          <w:p w:rsidR="001C4700" w:rsidRPr="008A2D40" w:rsidRDefault="001C4700" w:rsidP="003469E3">
            <w:pPr>
              <w:spacing w:line="276" w:lineRule="auto"/>
              <w:jc w:val="center"/>
              <w:rPr>
                <w:color w:val="000000"/>
                <w:sz w:val="20"/>
              </w:rPr>
            </w:pPr>
            <w:r w:rsidRPr="008A2D40">
              <w:rPr>
                <w:color w:val="000000"/>
                <w:sz w:val="20"/>
              </w:rPr>
              <w:t xml:space="preserve">(не более 15 для </w:t>
            </w:r>
            <w:r w:rsidRPr="008A2D40">
              <w:rPr>
                <w:color w:val="000000"/>
                <w:sz w:val="20"/>
              </w:rPr>
              <w:lastRenderedPageBreak/>
              <w:t>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lastRenderedPageBreak/>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4" w:type="pct"/>
            <w:gridSpan w:val="3"/>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1C4700" w:rsidRPr="008A2D40" w:rsidRDefault="001C4700" w:rsidP="003469E3">
            <w:pPr>
              <w:spacing w:line="276" w:lineRule="auto"/>
              <w:jc w:val="center"/>
              <w:rPr>
                <w:color w:val="000000"/>
                <w:sz w:val="20"/>
              </w:rPr>
            </w:pPr>
            <w:r w:rsidRPr="008A2D40">
              <w:rPr>
                <w:color w:val="000000"/>
                <w:sz w:val="20"/>
              </w:rPr>
              <w:t>не более 800</w:t>
            </w:r>
          </w:p>
          <w:p w:rsidR="001C4700" w:rsidRPr="008A2D40" w:rsidRDefault="001C4700" w:rsidP="003469E3">
            <w:pPr>
              <w:spacing w:line="276" w:lineRule="auto"/>
              <w:jc w:val="center"/>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jc w:val="center"/>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c>
          <w:tcPr>
            <w:tcW w:w="336" w:type="pct"/>
            <w:gridSpan w:val="2"/>
            <w:tcBorders>
              <w:top w:val="outset" w:sz="6" w:space="0" w:color="auto"/>
              <w:left w:val="outset" w:sz="6" w:space="0" w:color="auto"/>
              <w:bottom w:val="outset" w:sz="6" w:space="0" w:color="auto"/>
              <w:right w:val="outset" w:sz="6" w:space="0" w:color="auto"/>
            </w:tcBorders>
            <w:vAlign w:val="center"/>
          </w:tcPr>
          <w:p w:rsidR="001C4700" w:rsidRPr="008A2D40" w:rsidRDefault="001C4700" w:rsidP="003469E3">
            <w:pPr>
              <w:spacing w:line="276" w:lineRule="auto"/>
              <w:rPr>
                <w:color w:val="000000"/>
                <w:sz w:val="20"/>
              </w:rPr>
            </w:pPr>
          </w:p>
        </w:tc>
      </w:tr>
      <w:tr w:rsidR="001C4700" w:rsidRPr="002B23CC" w:rsidTr="001C4700">
        <w:tblPrEx>
          <w:tblCellSpacing w:w="15" w:type="dxa"/>
        </w:tblPrEx>
        <w:trPr>
          <w:gridBefore w:val="1"/>
          <w:wBefore w:w="26" w:type="pct"/>
          <w:tblCellSpacing w:w="15" w:type="dxa"/>
        </w:trPr>
        <w:tc>
          <w:tcPr>
            <w:tcW w:w="1573" w:type="pct"/>
            <w:gridSpan w:val="3"/>
            <w:vAlign w:val="center"/>
            <w:hideMark/>
          </w:tcPr>
          <w:p w:rsidR="001C4700" w:rsidRPr="002B23CC" w:rsidRDefault="001C4700" w:rsidP="003469E3">
            <w:pPr>
              <w:spacing w:line="276" w:lineRule="auto"/>
              <w:rPr>
                <w:b/>
                <w:bCs/>
                <w:color w:val="000000"/>
                <w:sz w:val="24"/>
                <w:szCs w:val="24"/>
              </w:rPr>
            </w:pPr>
          </w:p>
          <w:p w:rsidR="001C4700" w:rsidRDefault="001C4700" w:rsidP="003469E3">
            <w:pPr>
              <w:spacing w:line="276" w:lineRule="auto"/>
              <w:rPr>
                <w:b/>
                <w:bCs/>
                <w:color w:val="000000"/>
                <w:sz w:val="24"/>
                <w:szCs w:val="24"/>
              </w:rPr>
            </w:pPr>
          </w:p>
          <w:p w:rsidR="001C4700" w:rsidRPr="002B23CC" w:rsidRDefault="001C4700" w:rsidP="003469E3">
            <w:pPr>
              <w:spacing w:line="276" w:lineRule="auto"/>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1C4700" w:rsidRDefault="001C4700" w:rsidP="003469E3">
            <w:pPr>
              <w:spacing w:line="276" w:lineRule="auto"/>
              <w:rPr>
                <w:color w:val="000000"/>
                <w:sz w:val="24"/>
                <w:szCs w:val="24"/>
              </w:rPr>
            </w:pPr>
          </w:p>
          <w:p w:rsidR="001C4700" w:rsidRDefault="001C4700" w:rsidP="003469E3">
            <w:pPr>
              <w:spacing w:line="276" w:lineRule="auto"/>
              <w:rPr>
                <w:color w:val="000000"/>
                <w:sz w:val="24"/>
                <w:szCs w:val="24"/>
              </w:rPr>
            </w:pPr>
          </w:p>
          <w:p w:rsidR="001C4700" w:rsidRPr="002B23CC" w:rsidRDefault="001C4700" w:rsidP="003469E3">
            <w:pPr>
              <w:spacing w:line="276" w:lineRule="auto"/>
              <w:rPr>
                <w:color w:val="000000"/>
                <w:sz w:val="24"/>
                <w:szCs w:val="24"/>
              </w:rPr>
            </w:pPr>
            <w:r w:rsidRPr="002B23CC">
              <w:rPr>
                <w:color w:val="000000"/>
                <w:sz w:val="24"/>
                <w:szCs w:val="24"/>
              </w:rPr>
              <w:t>__________________________ /</w:t>
            </w:r>
          </w:p>
        </w:tc>
        <w:tc>
          <w:tcPr>
            <w:tcW w:w="1574" w:type="pct"/>
            <w:gridSpan w:val="5"/>
            <w:vAlign w:val="center"/>
            <w:hideMark/>
          </w:tcPr>
          <w:p w:rsidR="001C4700" w:rsidRDefault="001C4700" w:rsidP="003469E3">
            <w:pPr>
              <w:spacing w:line="276" w:lineRule="auto"/>
              <w:rPr>
                <w:color w:val="000000"/>
                <w:sz w:val="24"/>
                <w:szCs w:val="24"/>
              </w:rPr>
            </w:pPr>
          </w:p>
          <w:p w:rsidR="001C4700" w:rsidRDefault="001C4700" w:rsidP="003469E3">
            <w:pPr>
              <w:spacing w:line="276" w:lineRule="auto"/>
              <w:rPr>
                <w:color w:val="000000"/>
                <w:sz w:val="24"/>
                <w:szCs w:val="24"/>
              </w:rPr>
            </w:pPr>
          </w:p>
          <w:p w:rsidR="001C4700" w:rsidRPr="002B23CC" w:rsidRDefault="001C4700" w:rsidP="003469E3">
            <w:pPr>
              <w:spacing w:line="276" w:lineRule="auto"/>
              <w:rPr>
                <w:color w:val="000000"/>
                <w:sz w:val="24"/>
                <w:szCs w:val="24"/>
              </w:rPr>
            </w:pPr>
            <w:r w:rsidRPr="002B23CC">
              <w:rPr>
                <w:color w:val="000000"/>
                <w:sz w:val="24"/>
                <w:szCs w:val="24"/>
              </w:rPr>
              <w:t>__________________________ /</w:t>
            </w:r>
          </w:p>
        </w:tc>
      </w:tr>
      <w:tr w:rsidR="001C4700" w:rsidRPr="002B23CC" w:rsidTr="001C4700">
        <w:tblPrEx>
          <w:tblCellSpacing w:w="15" w:type="dxa"/>
        </w:tblPrEx>
        <w:trPr>
          <w:gridBefore w:val="1"/>
          <w:wBefore w:w="26" w:type="pct"/>
          <w:tblCellSpacing w:w="15" w:type="dxa"/>
        </w:trPr>
        <w:tc>
          <w:tcPr>
            <w:tcW w:w="1573" w:type="pct"/>
            <w:gridSpan w:val="3"/>
            <w:hideMark/>
          </w:tcPr>
          <w:p w:rsidR="001C4700" w:rsidRPr="002B23CC" w:rsidRDefault="001C4700" w:rsidP="003469E3">
            <w:pPr>
              <w:spacing w:line="276" w:lineRule="auto"/>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1C4700" w:rsidRPr="002B23CC" w:rsidRDefault="001C4700" w:rsidP="003469E3">
            <w:pPr>
              <w:spacing w:line="276" w:lineRule="auto"/>
              <w:jc w:val="center"/>
              <w:rPr>
                <w:color w:val="000000"/>
                <w:sz w:val="24"/>
                <w:szCs w:val="24"/>
              </w:rPr>
            </w:pPr>
            <w:r w:rsidRPr="002B23CC">
              <w:rPr>
                <w:color w:val="000000"/>
                <w:sz w:val="24"/>
                <w:szCs w:val="24"/>
              </w:rPr>
              <w:t>подпись, МП</w:t>
            </w:r>
          </w:p>
        </w:tc>
        <w:tc>
          <w:tcPr>
            <w:tcW w:w="1574" w:type="pct"/>
            <w:gridSpan w:val="5"/>
            <w:hideMark/>
          </w:tcPr>
          <w:p w:rsidR="001C4700" w:rsidRPr="002B23CC" w:rsidRDefault="001C4700" w:rsidP="003469E3">
            <w:pPr>
              <w:spacing w:line="276" w:lineRule="auto"/>
              <w:jc w:val="center"/>
              <w:rPr>
                <w:color w:val="000000"/>
                <w:sz w:val="24"/>
                <w:szCs w:val="24"/>
              </w:rPr>
            </w:pPr>
            <w:r w:rsidRPr="002B23CC">
              <w:rPr>
                <w:color w:val="000000"/>
                <w:sz w:val="24"/>
                <w:szCs w:val="24"/>
              </w:rPr>
              <w:t>ФИО</w:t>
            </w:r>
          </w:p>
        </w:tc>
      </w:tr>
    </w:tbl>
    <w:p w:rsidR="001C4700" w:rsidRDefault="001C4700" w:rsidP="001C4700">
      <w:pPr>
        <w:pStyle w:val="21"/>
        <w:numPr>
          <w:ilvl w:val="0"/>
          <w:numId w:val="0"/>
        </w:numPr>
        <w:ind w:left="1134"/>
      </w:pPr>
    </w:p>
    <w:p w:rsidR="001C4700" w:rsidRPr="001C4700" w:rsidRDefault="001C4700" w:rsidP="001C4700"/>
    <w:p w:rsidR="00E044C1" w:rsidRPr="000E2B07" w:rsidRDefault="00F3026D" w:rsidP="000E2B07">
      <w:pPr>
        <w:pStyle w:val="1"/>
        <w:rPr>
          <w:rFonts w:ascii="Times New Roman" w:hAnsi="Times New Roman"/>
          <w:sz w:val="28"/>
          <w:szCs w:val="28"/>
        </w:rPr>
      </w:pPr>
      <w:bookmarkStart w:id="79" w:name="_Toc443553970"/>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9"/>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w:t>
      </w:r>
      <w:proofErr w:type="gramStart"/>
      <w:r w:rsidRPr="007323A5">
        <w:rPr>
          <w:sz w:val="22"/>
          <w:szCs w:val="22"/>
        </w:rPr>
        <w:t xml:space="preserve">   «</w:t>
      </w:r>
      <w:proofErr w:type="gramEnd"/>
      <w:r w:rsidRPr="007323A5">
        <w:rPr>
          <w:sz w:val="22"/>
          <w:szCs w:val="22"/>
        </w:rPr>
        <w:t>____» ___________20__ года</w:t>
      </w:r>
    </w:p>
    <w:p w:rsidR="007323A5" w:rsidRPr="007323A5" w:rsidRDefault="007323A5" w:rsidP="007323A5">
      <w:pPr>
        <w:autoSpaceDE w:val="0"/>
        <w:autoSpaceDN w:val="0"/>
        <w:ind w:firstLine="540"/>
        <w:rPr>
          <w:sz w:val="22"/>
          <w:szCs w:val="22"/>
        </w:rPr>
      </w:pPr>
    </w:p>
    <w:p w:rsidR="007323A5" w:rsidRPr="007323A5" w:rsidRDefault="00551F81" w:rsidP="007323A5">
      <w:pPr>
        <w:tabs>
          <w:tab w:val="num" w:pos="1276"/>
        </w:tabs>
        <w:autoSpaceDE w:val="0"/>
        <w:autoSpaceDN w:val="0"/>
        <w:rPr>
          <w:sz w:val="22"/>
          <w:szCs w:val="22"/>
          <w:lang w:val="sr-Cyrl-CS"/>
        </w:rPr>
      </w:pPr>
      <w:r>
        <w:rPr>
          <w:sz w:val="22"/>
          <w:szCs w:val="22"/>
          <w:lang w:val="sr-Cyrl-CS"/>
        </w:rPr>
        <w:t>Публичное</w:t>
      </w:r>
      <w:r w:rsidR="007323A5" w:rsidRPr="007323A5">
        <w:rPr>
          <w:sz w:val="22"/>
          <w:szCs w:val="22"/>
          <w:lang w:val="sr-Cyrl-CS"/>
        </w:rPr>
        <w:t xml:space="preserve"> акционерное общество </w:t>
      </w:r>
      <w:r w:rsidR="00C610E0" w:rsidRPr="00C610E0">
        <w:rPr>
          <w:sz w:val="22"/>
          <w:szCs w:val="22"/>
          <w:lang w:val="sr-Cyrl-CS"/>
        </w:rPr>
        <w:t>ПАО «Юнипро»</w:t>
      </w:r>
      <w:r w:rsidR="007323A5" w:rsidRPr="007323A5">
        <w:rPr>
          <w:sz w:val="22"/>
          <w:szCs w:val="22"/>
        </w:rPr>
        <w:t xml:space="preserve"> (</w:t>
      </w:r>
      <w:r w:rsidR="00C610E0" w:rsidRPr="00C610E0">
        <w:rPr>
          <w:sz w:val="22"/>
          <w:szCs w:val="22"/>
          <w:lang w:val="sr-Cyrl-CS"/>
        </w:rPr>
        <w:t>ПАО «Юнипро»</w:t>
      </w:r>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lastRenderedPageBreak/>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 xml:space="preserve">оговором, либо данным, указанным в маркировке и сопроводительных документах, </w:t>
      </w:r>
      <w:r w:rsidRPr="007323A5">
        <w:rPr>
          <w:sz w:val="22"/>
          <w:szCs w:val="22"/>
          <w:lang w:val="sr-Cyrl-CS"/>
        </w:rPr>
        <w:lastRenderedPageBreak/>
        <w:t>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lastRenderedPageBreak/>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lastRenderedPageBreak/>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w:t>
      </w:r>
      <w:r w:rsidRPr="007323A5">
        <w:rPr>
          <w:sz w:val="22"/>
          <w:szCs w:val="22"/>
          <w:lang w:val="sr-Cyrl-CS"/>
        </w:rPr>
        <w:lastRenderedPageBreak/>
        <w:t>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80" w:name="OCRUncertain200"/>
      <w:r w:rsidRPr="007323A5">
        <w:rPr>
          <w:sz w:val="22"/>
          <w:szCs w:val="22"/>
        </w:rPr>
        <w:t>доказывания</w:t>
      </w:r>
      <w:bookmarkEnd w:id="80"/>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lastRenderedPageBreak/>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323A5">
        <w:rPr>
          <w:sz w:val="22"/>
          <w:szCs w:val="22"/>
        </w:rPr>
        <w:t>неденежного</w:t>
      </w:r>
      <w:proofErr w:type="spellEnd"/>
      <w:r w:rsidRPr="007323A5">
        <w:rPr>
          <w:sz w:val="22"/>
          <w:szCs w:val="22"/>
        </w:rPr>
        <w:t xml:space="preserve"> исполнения, то сумма штрафа исчисляется от суммы спецификации(</w:t>
      </w:r>
      <w:proofErr w:type="spellStart"/>
      <w:r w:rsidRPr="007323A5">
        <w:rPr>
          <w:sz w:val="22"/>
          <w:szCs w:val="22"/>
        </w:rPr>
        <w:t>ий</w:t>
      </w:r>
      <w:proofErr w:type="spellEnd"/>
      <w:r w:rsidRPr="007323A5">
        <w:rPr>
          <w:sz w:val="22"/>
          <w:szCs w:val="22"/>
        </w:rPr>
        <w:t>) к Договору, права (требования) из которой(</w:t>
      </w:r>
      <w:proofErr w:type="spellStart"/>
      <w:r w:rsidRPr="007323A5">
        <w:rPr>
          <w:sz w:val="22"/>
          <w:szCs w:val="22"/>
        </w:rPr>
        <w:t>ых</w:t>
      </w:r>
      <w:proofErr w:type="spellEnd"/>
      <w:r w:rsidRPr="007323A5">
        <w:rPr>
          <w:sz w:val="22"/>
          <w:szCs w:val="22"/>
        </w:rPr>
        <w:t>)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 xml:space="preserve">оговора, а также принимать все зависящие от него меры </w:t>
      </w:r>
      <w:proofErr w:type="gramStart"/>
      <w:r w:rsidRPr="007323A5">
        <w:rPr>
          <w:sz w:val="22"/>
          <w:szCs w:val="22"/>
          <w:lang w:val="sr-Cyrl-CS"/>
        </w:rPr>
        <w:t>к защите</w:t>
      </w:r>
      <w:proofErr w:type="gramEnd"/>
      <w:r w:rsidRPr="007323A5">
        <w:rPr>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C610E0" w:rsidRPr="00C610E0">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7323A5">
        <w:rPr>
          <w:sz w:val="22"/>
          <w:szCs w:val="22"/>
          <w:lang w:val="sr-Cyrl-CS"/>
        </w:rPr>
        <w:lastRenderedPageBreak/>
        <w:t xml:space="preserve">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C610E0" w:rsidRPr="00C610E0">
        <w:rPr>
          <w:sz w:val="22"/>
          <w:szCs w:val="22"/>
          <w:lang w:val="sr-Cyrl-CS"/>
        </w:rPr>
        <w:t>ПАО «Юнипро»</w:t>
      </w:r>
      <w:r w:rsidRPr="007323A5">
        <w:rPr>
          <w:sz w:val="22"/>
          <w:szCs w:val="22"/>
          <w:lang w:val="sr-Cyrl-CS"/>
        </w:rPr>
        <w:t xml:space="preserve">, опубликовано на сайте </w:t>
      </w:r>
      <w:r w:rsidR="00C610E0" w:rsidRPr="00C610E0">
        <w:rPr>
          <w:sz w:val="22"/>
          <w:szCs w:val="22"/>
          <w:lang w:val="sr-Cyrl-CS"/>
        </w:rPr>
        <w:t>ПАО «Юнипро»</w:t>
      </w:r>
      <w:r w:rsidRPr="007323A5">
        <w:rPr>
          <w:sz w:val="22"/>
          <w:szCs w:val="22"/>
          <w:lang w:val="sr-Cyrl-CS"/>
        </w:rPr>
        <w:t xml:space="preserve">: </w:t>
      </w:r>
      <w:r w:rsidR="00C610E0" w:rsidRPr="00C610E0">
        <w:rPr>
          <w:sz w:val="22"/>
          <w:szCs w:val="22"/>
          <w:lang w:val="sr-Cyrl-CS"/>
        </w:rPr>
        <w:t>http://www.unipro.energy/</w:t>
      </w:r>
      <w:r w:rsidRPr="007323A5">
        <w:rPr>
          <w:sz w:val="22"/>
          <w:szCs w:val="22"/>
          <w:lang w:val="sr-Cyrl-CS"/>
        </w:rPr>
        <w:t xml:space="preserve">. Поставщик с Положением о соблюдении Принципов Глобального договора ООН, действующим в </w:t>
      </w:r>
      <w:r w:rsidR="00C610E0" w:rsidRPr="00C610E0">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sectPr w:rsidR="00EB69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87" w:rsidRDefault="002E7D87">
      <w:r>
        <w:separator/>
      </w:r>
    </w:p>
  </w:endnote>
  <w:endnote w:type="continuationSeparator" w:id="0">
    <w:p w:rsidR="002E7D87" w:rsidRDefault="002E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E7D87" w:rsidRDefault="002E7D87">
        <w:pPr>
          <w:pStyle w:val="af0"/>
          <w:jc w:val="right"/>
        </w:pPr>
        <w:r>
          <w:fldChar w:fldCharType="begin"/>
        </w:r>
        <w:r>
          <w:instrText xml:space="preserve"> PAGE   \* MERGEFORMAT </w:instrText>
        </w:r>
        <w:r>
          <w:fldChar w:fldCharType="separate"/>
        </w:r>
        <w:r w:rsidR="0097303C">
          <w:rPr>
            <w:noProof/>
          </w:rPr>
          <w:t>3</w:t>
        </w:r>
        <w:r>
          <w:rPr>
            <w:noProof/>
          </w:rPr>
          <w:fldChar w:fldCharType="end"/>
        </w:r>
      </w:p>
    </w:sdtContent>
  </w:sdt>
  <w:p w:rsidR="002E7D87" w:rsidRDefault="002E7D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87" w:rsidRDefault="002E7D87">
      <w:r>
        <w:separator/>
      </w:r>
    </w:p>
  </w:footnote>
  <w:footnote w:type="continuationSeparator" w:id="0">
    <w:p w:rsidR="002E7D87" w:rsidRDefault="002E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87" w:rsidRPr="005856AF" w:rsidRDefault="002E7D8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607AFA"/>
    <w:multiLevelType w:val="hybridMultilevel"/>
    <w:tmpl w:val="3CB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1CB455EC"/>
    <w:multiLevelType w:val="hybridMultilevel"/>
    <w:tmpl w:val="2C58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3" w15:restartNumberingAfterBreak="0">
    <w:nsid w:val="29241290"/>
    <w:multiLevelType w:val="hybridMultilevel"/>
    <w:tmpl w:val="83D2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2FE64827"/>
    <w:multiLevelType w:val="hybridMultilevel"/>
    <w:tmpl w:val="8570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E185956"/>
    <w:multiLevelType w:val="hybridMultilevel"/>
    <w:tmpl w:val="CA3C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E184333"/>
    <w:multiLevelType w:val="hybridMultilevel"/>
    <w:tmpl w:val="46B86D66"/>
    <w:lvl w:ilvl="0" w:tplc="FFFFFFFF">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29"/>
  </w:num>
  <w:num w:numId="4">
    <w:abstractNumId w:val="46"/>
  </w:num>
  <w:num w:numId="5">
    <w:abstractNumId w:val="27"/>
  </w:num>
  <w:num w:numId="6">
    <w:abstractNumId w:val="13"/>
  </w:num>
  <w:num w:numId="7">
    <w:abstractNumId w:val="28"/>
  </w:num>
  <w:num w:numId="8">
    <w:abstractNumId w:val="34"/>
  </w:num>
  <w:num w:numId="9">
    <w:abstractNumId w:val="24"/>
  </w:num>
  <w:num w:numId="10">
    <w:abstractNumId w:val="15"/>
  </w:num>
  <w:num w:numId="11">
    <w:abstractNumId w:val="16"/>
  </w:num>
  <w:num w:numId="12">
    <w:abstractNumId w:val="31"/>
  </w:num>
  <w:num w:numId="13">
    <w:abstractNumId w:val="3"/>
  </w:num>
  <w:num w:numId="14">
    <w:abstractNumId w:val="8"/>
  </w:num>
  <w:num w:numId="15">
    <w:abstractNumId w:val="30"/>
  </w:num>
  <w:num w:numId="16">
    <w:abstractNumId w:val="39"/>
  </w:num>
  <w:num w:numId="17">
    <w:abstractNumId w:val="52"/>
  </w:num>
  <w:num w:numId="18">
    <w:abstractNumId w:val="44"/>
  </w:num>
  <w:num w:numId="19">
    <w:abstractNumId w:val="20"/>
  </w:num>
  <w:num w:numId="20">
    <w:abstractNumId w:val="1"/>
  </w:num>
  <w:num w:numId="21">
    <w:abstractNumId w:val="0"/>
  </w:num>
  <w:num w:numId="22">
    <w:abstractNumId w:val="35"/>
  </w:num>
  <w:num w:numId="23">
    <w:abstractNumId w:val="2"/>
  </w:num>
  <w:num w:numId="24">
    <w:abstractNumId w:val="12"/>
  </w:num>
  <w:num w:numId="25">
    <w:abstractNumId w:val="50"/>
  </w:num>
  <w:num w:numId="26">
    <w:abstractNumId w:val="11"/>
  </w:num>
  <w:num w:numId="27">
    <w:abstractNumId w:val="41"/>
  </w:num>
  <w:num w:numId="28">
    <w:abstractNumId w:val="47"/>
  </w:num>
  <w:num w:numId="29">
    <w:abstractNumId w:val="21"/>
  </w:num>
  <w:num w:numId="30">
    <w:abstractNumId w:val="22"/>
  </w:num>
  <w:num w:numId="31">
    <w:abstractNumId w:val="25"/>
  </w:num>
  <w:num w:numId="32">
    <w:abstractNumId w:val="37"/>
  </w:num>
  <w:num w:numId="33">
    <w:abstractNumId w:val="14"/>
  </w:num>
  <w:num w:numId="34">
    <w:abstractNumId w:val="45"/>
  </w:num>
  <w:num w:numId="35">
    <w:abstractNumId w:val="40"/>
  </w:num>
  <w:num w:numId="36">
    <w:abstractNumId w:val="19"/>
  </w:num>
  <w:num w:numId="37">
    <w:abstractNumId w:val="18"/>
  </w:num>
  <w:num w:numId="38">
    <w:abstractNumId w:val="43"/>
  </w:num>
  <w:num w:numId="39">
    <w:abstractNumId w:val="10"/>
  </w:num>
  <w:num w:numId="40">
    <w:abstractNumId w:val="48"/>
  </w:num>
  <w:num w:numId="41">
    <w:abstractNumId w:val="36"/>
  </w:num>
  <w:num w:numId="42">
    <w:abstractNumId w:val="32"/>
  </w:num>
  <w:num w:numId="43">
    <w:abstractNumId w:val="54"/>
  </w:num>
  <w:num w:numId="44">
    <w:abstractNumId w:val="9"/>
  </w:num>
  <w:num w:numId="45">
    <w:abstractNumId w:val="51"/>
  </w:num>
  <w:num w:numId="46">
    <w:abstractNumId w:val="23"/>
  </w:num>
  <w:num w:numId="47">
    <w:abstractNumId w:val="46"/>
    <w:lvlOverride w:ilvl="0">
      <w:startOverride w:val="1"/>
    </w:lvlOverride>
  </w:num>
  <w:num w:numId="48">
    <w:abstractNumId w:val="53"/>
  </w:num>
  <w:num w:numId="49">
    <w:abstractNumId w:val="49"/>
  </w:num>
  <w:num w:numId="50">
    <w:abstractNumId w:val="38"/>
  </w:num>
  <w:num w:numId="51">
    <w:abstractNumId w:val="26"/>
  </w:num>
  <w:num w:numId="5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67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4EB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03C"/>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9AF"/>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24B"/>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4C79-2E9D-4957-9246-7431BA9C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7753</Words>
  <Characters>57323</Characters>
  <Application>Microsoft Office Word</Application>
  <DocSecurity>0</DocSecurity>
  <Lines>477</Lines>
  <Paragraphs>129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64947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9</cp:revision>
  <cp:lastPrinted>2016-08-17T13:26:00Z</cp:lastPrinted>
  <dcterms:created xsi:type="dcterms:W3CDTF">2016-08-17T12:16:00Z</dcterms:created>
  <dcterms:modified xsi:type="dcterms:W3CDTF">2016-12-29T08:23:00Z</dcterms:modified>
</cp:coreProperties>
</file>