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645D70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364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обоснования инвестиций в строительство системы сухого золошлакоудаления для трех энергоблоков 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ф-ла "Березовская ГРЭС" ПАО «Юнипро», в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обоснования инвестиций в строительство системы сухого золошлакоудаления для трех энергоблоков </w:t>
      </w:r>
      <w:r w:rsidR="00D64B63" w:rsidRPr="00645D70">
        <w:rPr>
          <w:rFonts w:ascii="Times New Roman" w:hAnsi="Times New Roman" w:cs="Times New Roman"/>
          <w:color w:val="000000"/>
          <w:sz w:val="24"/>
          <w:szCs w:val="24"/>
        </w:rPr>
        <w:t xml:space="preserve"> ф-ла "Березовская ГРЭС" ПАО «Юнипро», в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№6</w:t>
      </w:r>
    </w:p>
    <w:p w:rsidR="00D64B63" w:rsidRPr="006512FB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 №7</w:t>
      </w:r>
      <w:bookmarkStart w:id="0" w:name="_GoBack"/>
      <w:bookmarkEnd w:id="0"/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A3" w:rsidRDefault="00550FA3" w:rsidP="007E27C4">
      <w:pPr>
        <w:spacing w:line="240" w:lineRule="auto"/>
      </w:pPr>
      <w:r>
        <w:separator/>
      </w:r>
    </w:p>
  </w:endnote>
  <w:endnote w:type="continuationSeparator" w:id="0">
    <w:p w:rsidR="00550FA3" w:rsidRDefault="00550F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436E2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A3" w:rsidRDefault="00550FA3" w:rsidP="007E27C4">
      <w:pPr>
        <w:spacing w:line="240" w:lineRule="auto"/>
      </w:pPr>
      <w:r>
        <w:separator/>
      </w:r>
    </w:p>
  </w:footnote>
  <w:footnote w:type="continuationSeparator" w:id="0">
    <w:p w:rsidR="00550FA3" w:rsidRDefault="00550FA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8B9D-CE2F-4D1A-A460-A833AF06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2016-02-09T12:03:00Z</cp:lastPrinted>
  <dcterms:created xsi:type="dcterms:W3CDTF">2017-10-19T13:47:00Z</dcterms:created>
  <dcterms:modified xsi:type="dcterms:W3CDTF">2017-10-19T13:47:00Z</dcterms:modified>
</cp:coreProperties>
</file>